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F8A4" w14:textId="77777777" w:rsidR="00215F68" w:rsidRPr="00A25B81" w:rsidRDefault="00215F68" w:rsidP="00215F68">
      <w:pPr>
        <w:spacing w:after="0" w:line="240" w:lineRule="auto"/>
        <w:contextualSpacing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757B6C">
        <w:rPr>
          <w:rFonts w:eastAsiaTheme="majorEastAsia" w:cstheme="minorHAnsi"/>
          <w:b/>
          <w:color w:val="96368C"/>
          <w:kern w:val="20"/>
          <w:szCs w:val="28"/>
          <w:u w:val="single"/>
          <w:lang w:val="en-US"/>
          <w14:ligatures w14:val="none"/>
        </w:rPr>
        <w:t>Purpose</w:t>
      </w:r>
      <w:r w:rsidRPr="00757B6C">
        <w:rPr>
          <w:rFonts w:eastAsiaTheme="majorEastAsia" w:cstheme="minorHAnsi"/>
          <w:b/>
          <w:color w:val="96368C"/>
          <w:kern w:val="20"/>
          <w:szCs w:val="28"/>
          <w:lang w:val="en-US"/>
          <w14:ligatures w14:val="none"/>
        </w:rPr>
        <w:t>:</w:t>
      </w:r>
    </w:p>
    <w:p w14:paraId="29E4E38A" w14:textId="5F1D7B65" w:rsidR="00215F68" w:rsidRPr="00A25B81" w:rsidRDefault="00215F68" w:rsidP="00215F68">
      <w:pPr>
        <w:spacing w:after="0" w:line="240" w:lineRule="auto"/>
        <w:contextualSpacing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Jim Pattison Children’s Hospital Foundation (JPCHF) has proudly sponsored advanced education through their annual grant cycle and is now pleased to provide the SHA Maternal Child Network with a $70,000 professional development fund for the 2024/25 fiscal year.  This new fund demonstrates the commitment of JPCHF to improving the health outcomes of maternal, newborn, child</w:t>
      </w:r>
      <w:r w:rsid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,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and youth patients provincially through partnership, programs, equipment, infrastructure, research</w:t>
      </w:r>
      <w:r w:rsid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,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and education.  The </w:t>
      </w:r>
      <w:r w:rsidR="00BB2E12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Jim Pattison Children’s Hospital Foundation 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Professional Development </w:t>
      </w:r>
      <w:r w:rsidR="00830CEE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F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und will focus on advanced education for Nurses, Int</w:t>
      </w:r>
      <w:r w:rsidR="00626182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er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professional </w:t>
      </w:r>
      <w:r w:rsid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S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taff, and Operational Leaders supporting the </w:t>
      </w:r>
      <w:r w:rsidR="007828E9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enhancement 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of clinical care for</w:t>
      </w:r>
      <w:r w:rsidR="007828E9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pregnant persons, 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children</w:t>
      </w:r>
      <w:r w:rsidR="00830CEE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,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and families.</w:t>
      </w:r>
      <w:r w:rsidR="000D22AE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 </w:t>
      </w:r>
    </w:p>
    <w:p w14:paraId="2BDD1D78" w14:textId="77777777" w:rsidR="00215F68" w:rsidRPr="00757B6C" w:rsidRDefault="00215F68" w:rsidP="00215F68">
      <w:pPr>
        <w:spacing w:after="0" w:line="240" w:lineRule="auto"/>
        <w:contextualSpacing/>
        <w:rPr>
          <w:rFonts w:ascii="Calibri" w:eastAsiaTheme="majorEastAsia" w:hAnsi="Calibri" w:cs="Calibri"/>
          <w:bCs/>
          <w:kern w:val="28"/>
          <w:sz w:val="12"/>
          <w:szCs w:val="12"/>
          <w:lang w:val="en-US"/>
          <w14:ligatures w14:val="none"/>
        </w:rPr>
      </w:pPr>
    </w:p>
    <w:p w14:paraId="40534E38" w14:textId="77777777" w:rsidR="00215F68" w:rsidRPr="00757B6C" w:rsidRDefault="00215F68" w:rsidP="00215F68">
      <w:pPr>
        <w:spacing w:after="0" w:line="240" w:lineRule="auto"/>
        <w:contextualSpacing/>
        <w:rPr>
          <w:rFonts w:eastAsiaTheme="majorEastAsia" w:cstheme="minorHAnsi"/>
          <w:b/>
          <w:color w:val="96368C"/>
          <w:kern w:val="20"/>
          <w:sz w:val="24"/>
          <w:szCs w:val="32"/>
          <w:u w:val="single"/>
          <w:lang w:val="en-US"/>
          <w14:ligatures w14:val="none"/>
        </w:rPr>
      </w:pPr>
      <w:r w:rsidRPr="00757B6C">
        <w:rPr>
          <w:rFonts w:eastAsiaTheme="majorEastAsia" w:cstheme="minorHAnsi"/>
          <w:b/>
          <w:color w:val="96368C"/>
          <w:kern w:val="20"/>
          <w:szCs w:val="28"/>
          <w:u w:val="single"/>
          <w:lang w:val="en-US"/>
          <w14:ligatures w14:val="none"/>
        </w:rPr>
        <w:t>How to Apply</w:t>
      </w:r>
      <w:r w:rsidRPr="00757B6C">
        <w:rPr>
          <w:rFonts w:eastAsiaTheme="majorEastAsia" w:cstheme="minorHAnsi"/>
          <w:b/>
          <w:color w:val="96368C"/>
          <w:kern w:val="20"/>
          <w:szCs w:val="28"/>
          <w:lang w:val="en-US"/>
          <w14:ligatures w14:val="none"/>
        </w:rPr>
        <w:t>:</w:t>
      </w:r>
    </w:p>
    <w:p w14:paraId="1556AB93" w14:textId="69793C11" w:rsidR="00FC141A" w:rsidRPr="00A25B81" w:rsidRDefault="00FC141A" w:rsidP="00757B6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Applications are open and will be reviewed monthly</w:t>
      </w:r>
      <w:r w:rsidR="007828E9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.  Funds will be disbursed on a first come basis </w:t>
      </w:r>
      <w:r w:rsidR="00FB6B6A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until </w:t>
      </w:r>
      <w:r w:rsidR="00FB6B6A"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January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31, 2025</w:t>
      </w:r>
    </w:p>
    <w:p w14:paraId="37821A26" w14:textId="01509EA0" w:rsidR="00FC141A" w:rsidRPr="00A25B81" w:rsidRDefault="00FB6B6A" w:rsidP="00757B6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P</w:t>
      </w:r>
      <w:r w:rsidR="007828E9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lease complete the following documents in full: </w:t>
      </w:r>
    </w:p>
    <w:p w14:paraId="47899273" w14:textId="31AA185F" w:rsidR="00FC141A" w:rsidRPr="00A25B81" w:rsidRDefault="00FC141A" w:rsidP="00757B6C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Jim Pattison Children’s Hospital </w:t>
      </w:r>
      <w:r w:rsidR="00BB2E12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Foundation 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Professional Development Fund Application (page 2 of this document)</w:t>
      </w:r>
    </w:p>
    <w:p w14:paraId="561EA328" w14:textId="64496FDD" w:rsidR="00FC141A" w:rsidRDefault="00FC141A" w:rsidP="00757B6C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SHA Request to Attend form (SHA-03-003P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1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-F2)</w:t>
      </w:r>
    </w:p>
    <w:p w14:paraId="25C525E7" w14:textId="58A65D93" w:rsidR="00FC141A" w:rsidRPr="00FB6B6A" w:rsidRDefault="00FB6B6A" w:rsidP="00FB6B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FB6B6A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Submit both documents </w:t>
      </w:r>
      <w:r w:rsidR="00FC141A" w:rsidRPr="00FB6B6A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through the SHA Request to Attend process (SHA-03-001)</w:t>
      </w:r>
      <w:r w:rsidR="00830CEE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for appropriate approvals</w:t>
      </w:r>
    </w:p>
    <w:p w14:paraId="577159EA" w14:textId="64975D2E" w:rsidR="00FC141A" w:rsidRPr="00FB6B6A" w:rsidRDefault="00FB6B6A" w:rsidP="00FB6B6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Directors will forward all signed applications to </w:t>
      </w:r>
      <w:hyperlink r:id="rId10" w:history="1">
        <w:r w:rsidR="00CF7289" w:rsidRPr="00DC5A97">
          <w:rPr>
            <w:rStyle w:val="Hyperlink"/>
            <w:rFonts w:ascii="Calibri" w:hAnsi="Calibri" w:cs="Calibri" w:eastAsiaTheme="majorEastAsia"/>
            <w:bCs/>
            <w:kern w:val="28"/>
            <w:sz w:val="20"/>
            <w:szCs w:val="20"/>
            <w:lang w:val="en-US"/>
            <w14:ligatures w14:val="none"/>
          </w:rPr>
          <w:t>kimberly.woycik@saskhealthauthority.ca</w:t>
        </w:r>
      </w:hyperlink>
      <w:r w:rsidR="00FC141A" w:rsidRPr="00FB6B6A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for 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final approval (or if Out of Country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,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ELT approval as appropriate)</w:t>
      </w:r>
    </w:p>
    <w:p w14:paraId="3619E94C" w14:textId="7E114A3D" w:rsidR="00FC141A" w:rsidRPr="00A25B81" w:rsidRDefault="00FC141A" w:rsidP="00757B6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Application forms </w:t>
      </w:r>
      <w:r w:rsidR="00626182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and work standard with instructions 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are available on the </w:t>
      </w:r>
      <w:hyperlink r:id="rId11" w:history="1">
        <w:r w:rsidRPr="005C77C1">
          <w:rPr>
            <w:rStyle w:val="Hyperlink"/>
            <w:rFonts w:ascii="Calibri" w:hAnsi="Calibri" w:cs="Calibri" w:eastAsiaTheme="majorEastAsia"/>
            <w:bCs/>
            <w:kern w:val="28"/>
            <w:sz w:val="20"/>
            <w:szCs w:val="20"/>
            <w:lang w:val="en-US"/>
            <w14:ligatures w14:val="none"/>
          </w:rPr>
          <w:t>Moms and Kids Health Saskatchewan Website</w:t>
        </w:r>
      </w:hyperlink>
    </w:p>
    <w:p w14:paraId="2CB28720" w14:textId="77777777" w:rsidR="00FC141A" w:rsidRPr="00757B6C" w:rsidRDefault="00FC141A" w:rsidP="00FC141A">
      <w:pPr>
        <w:spacing w:after="0" w:line="240" w:lineRule="auto"/>
        <w:rPr>
          <w:rFonts w:ascii="Calibri" w:eastAsiaTheme="majorEastAsia" w:hAnsi="Calibri" w:cs="Calibri"/>
          <w:bCs/>
          <w:kern w:val="28"/>
          <w:sz w:val="12"/>
          <w:szCs w:val="12"/>
          <w:lang w:val="en-US"/>
          <w14:ligatures w14:val="none"/>
        </w:rPr>
      </w:pPr>
    </w:p>
    <w:p w14:paraId="09B09EB0" w14:textId="5167F37A" w:rsidR="00A25B81" w:rsidRPr="00757B6C" w:rsidRDefault="00FC141A" w:rsidP="00FC141A">
      <w:pPr>
        <w:spacing w:after="0" w:line="240" w:lineRule="auto"/>
        <w:contextualSpacing/>
        <w:rPr>
          <w:rFonts w:eastAsiaTheme="majorEastAsia" w:cstheme="minorHAnsi"/>
          <w:b/>
          <w:color w:val="96368C"/>
          <w:kern w:val="20"/>
          <w:sz w:val="24"/>
          <w:szCs w:val="32"/>
          <w:u w:val="single"/>
          <w:lang w:val="en-US"/>
          <w14:ligatures w14:val="none"/>
        </w:rPr>
      </w:pPr>
      <w:r w:rsidRPr="00757B6C">
        <w:rPr>
          <w:rFonts w:eastAsiaTheme="majorEastAsia" w:cstheme="minorHAnsi"/>
          <w:b/>
          <w:color w:val="96368C"/>
          <w:kern w:val="20"/>
          <w:szCs w:val="28"/>
          <w:u w:val="single"/>
          <w:lang w:val="en-US"/>
          <w14:ligatures w14:val="none"/>
        </w:rPr>
        <w:t>Who Can Apply</w:t>
      </w:r>
      <w:r w:rsidRPr="00757B6C">
        <w:rPr>
          <w:rFonts w:eastAsiaTheme="majorEastAsia" w:cstheme="minorHAnsi"/>
          <w:b/>
          <w:color w:val="96368C"/>
          <w:kern w:val="20"/>
          <w:szCs w:val="28"/>
          <w:lang w:val="en-US"/>
          <w14:ligatures w14:val="none"/>
        </w:rPr>
        <w:t>:</w:t>
      </w:r>
    </w:p>
    <w:p w14:paraId="1BF46A49" w14:textId="53F74FA2" w:rsidR="00A25B81" w:rsidRDefault="00A25B81" w:rsidP="00757B6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Maternal Child Nurses, Int</w:t>
      </w:r>
      <w:r w:rsidR="00626182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er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professional Practice, and Allied Health practitioners who report to the SHA Maternal Child Portfolio in Saskatoon or who work within the JPCH, ABCDP, 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and 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Sturdy Stone buildings and report through another service line</w:t>
      </w:r>
    </w:p>
    <w:p w14:paraId="21D572BA" w14:textId="589DBBAB" w:rsidR="00A25B81" w:rsidRDefault="00FB6B6A" w:rsidP="00757B6C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As JPCHF is our Home Hospital Foundation, all </w:t>
      </w:r>
      <w:r w:rsid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staff within this mandate are asked to utilize </w:t>
      </w:r>
      <w:r w:rsidR="00A25B81" w:rsidRPr="00FB6B6A">
        <w:rPr>
          <w:rFonts w:ascii="Calibri" w:hAnsi="Calibri" w:cs="Calibri" w:eastAsiaTheme="majorEastAsia"/>
          <w:bCs/>
          <w:i/>
          <w:iCs/>
          <w:kern w:val="28"/>
          <w:sz w:val="20"/>
          <w:szCs w:val="20"/>
          <w:lang w:val="en-US"/>
          <w14:ligatures w14:val="none"/>
        </w:rPr>
        <w:t>this process</w:t>
      </w:r>
      <w:r w:rsidRPr="00FB6B6A">
        <w:rPr>
          <w:rFonts w:ascii="Calibri" w:hAnsi="Calibri" w:cs="Calibri" w:eastAsiaTheme="majorEastAsia"/>
          <w:bCs/>
          <w:i/>
          <w:iCs/>
          <w:kern w:val="28"/>
          <w:sz w:val="20"/>
          <w:szCs w:val="20"/>
          <w:lang w:val="en-US"/>
          <w14:ligatures w14:val="none"/>
        </w:rPr>
        <w:t xml:space="preserve"> only</w:t>
      </w:r>
    </w:p>
    <w:p w14:paraId="791C38CD" w14:textId="34C24D61" w:rsidR="00A25B81" w:rsidRPr="00DA5630" w:rsidRDefault="00A25B81" w:rsidP="00757B6C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Staff working in Saskatoon’s Les and Irene Dube Centre for Children’s Mental Health, Women’s Health, and Breast Health </w:t>
      </w:r>
      <w:r w:rsidR="00FB6B6A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Centers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shall continue to apply through the </w:t>
      </w:r>
      <w:r w:rsidRPr="00FB6B6A">
        <w:rPr>
          <w:rFonts w:ascii="Calibri" w:hAnsi="Calibri" w:cs="Calibri" w:eastAsiaTheme="majorEastAsia"/>
          <w:bCs/>
          <w:i/>
          <w:iCs/>
          <w:kern w:val="28"/>
          <w:sz w:val="20"/>
          <w:szCs w:val="20"/>
          <w:lang w:val="en-US"/>
          <w14:ligatures w14:val="none"/>
        </w:rPr>
        <w:t>Foundation and SHR Professional Development Fund</w:t>
      </w:r>
    </w:p>
    <w:p w14:paraId="44D17C07" w14:textId="5273A234" w:rsidR="00DA5630" w:rsidRDefault="00DA5630" w:rsidP="00DA563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The </w:t>
      </w:r>
      <w:r w:rsidR="00BB2E12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JPCHF 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PD Fund is available for Maternal Child </w:t>
      </w:r>
      <w:r w:rsidR="000D22AE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staff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from across the province; those applying from outside Saskatoon will be required to utilize local professional development and Foundation grants first</w:t>
      </w:r>
    </w:p>
    <w:p w14:paraId="15EB9777" w14:textId="0A1E5FF7" w:rsidR="00A25B81" w:rsidRPr="00757B6C" w:rsidRDefault="00A25B81" w:rsidP="00FC141A">
      <w:pPr>
        <w:spacing w:after="0" w:line="240" w:lineRule="auto"/>
        <w:rPr>
          <w:rFonts w:ascii="Calibri" w:eastAsiaTheme="majorEastAsia" w:hAnsi="Calibri" w:cs="Calibri"/>
          <w:bCs/>
          <w:kern w:val="28"/>
          <w:sz w:val="12"/>
          <w:szCs w:val="12"/>
          <w:lang w:val="en-US"/>
          <w14:ligatures w14:val="none"/>
        </w:rPr>
      </w:pPr>
    </w:p>
    <w:p w14:paraId="4A542EE4" w14:textId="2D63067B" w:rsidR="00A25B81" w:rsidRPr="00757B6C" w:rsidRDefault="00A25B81" w:rsidP="00FC141A">
      <w:pPr>
        <w:spacing w:after="0" w:line="240" w:lineRule="auto"/>
        <w:contextualSpacing/>
        <w:rPr>
          <w:rFonts w:eastAsiaTheme="majorEastAsia" w:cstheme="minorHAnsi"/>
          <w:b/>
          <w:color w:val="96368C"/>
          <w:kern w:val="20"/>
          <w:sz w:val="24"/>
          <w:szCs w:val="32"/>
          <w:u w:val="single"/>
          <w:lang w:val="en-US"/>
          <w14:ligatures w14:val="none"/>
        </w:rPr>
      </w:pPr>
      <w:r w:rsidRPr="00757B6C">
        <w:rPr>
          <w:rFonts w:eastAsiaTheme="majorEastAsia" w:cstheme="minorHAnsi"/>
          <w:b/>
          <w:color w:val="96368C"/>
          <w:kern w:val="20"/>
          <w:szCs w:val="28"/>
          <w:u w:val="single"/>
          <w:lang w:val="en-US"/>
          <w14:ligatures w14:val="none"/>
        </w:rPr>
        <w:t>What Can Be Funded &amp; What is Required</w:t>
      </w:r>
      <w:r w:rsidRPr="00757B6C">
        <w:rPr>
          <w:rFonts w:eastAsiaTheme="majorEastAsia" w:cstheme="minorHAnsi"/>
          <w:b/>
          <w:color w:val="96368C"/>
          <w:kern w:val="20"/>
          <w:szCs w:val="28"/>
          <w:lang w:val="en-US"/>
          <w14:ligatures w14:val="none"/>
        </w:rPr>
        <w:t>:</w:t>
      </w:r>
    </w:p>
    <w:p w14:paraId="4AFC6F54" w14:textId="33A7C241" w:rsidR="00A25B81" w:rsidRDefault="00A25B81" w:rsidP="00757B6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The 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professional development</w:t>
      </w:r>
      <w:r w:rsidR="00757B6C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opportunity is focused on advancing care or bringing innovative new care to Saskatchewan; all training opportunities must be for advanced level competency</w:t>
      </w:r>
    </w:p>
    <w:p w14:paraId="60930FFF" w14:textId="76E00181" w:rsidR="00DA5630" w:rsidRDefault="00DA5630" w:rsidP="00757B6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Participation in 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n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ational networks, conferences, projects, site visits (new program training)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,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or relationship building</w:t>
      </w:r>
    </w:p>
    <w:p w14:paraId="046D0ACC" w14:textId="6964CE71" w:rsidR="00A25B81" w:rsidRDefault="00A25B81" w:rsidP="00757B6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All other sources of funding through SHA Professional Development, Union, or Program Education Fund</w:t>
      </w:r>
      <w:r w:rsidR="00757B6C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s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or National Funds shall be applied to first before submitting a request to </w:t>
      </w:r>
      <w:r w:rsidR="00BB2E12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the JPCHF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</w:t>
      </w:r>
      <w:r w:rsidR="00757B6C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PD F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und</w:t>
      </w:r>
    </w:p>
    <w:p w14:paraId="6C8B05AC" w14:textId="26890DBD" w:rsidR="00A25B81" w:rsidRDefault="00A25B81" w:rsidP="00757B6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The fund is not available for postsecondary education (degree, Masters, PhD courses)</w:t>
      </w:r>
    </w:p>
    <w:p w14:paraId="72E0DA08" w14:textId="127D265D" w:rsidR="00A25B81" w:rsidRDefault="00A25B81" w:rsidP="00757B6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Upon completion of the 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professional development</w:t>
      </w:r>
      <w:r w:rsidR="00757B6C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opportunity, the candidate will be required to </w:t>
      </w:r>
      <w:r w:rsidR="00DA5630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submit </w:t>
      </w:r>
      <w:r w:rsidR="00757B6C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an </w:t>
      </w:r>
      <w:hyperlink r:id="rId12" w:history="1">
        <w:r w:rsidR="00757B6C" w:rsidRPr="00DD3EA0">
          <w:rPr>
            <w:rStyle w:val="Hyperlink"/>
            <w:rFonts w:ascii="Calibri" w:hAnsi="Calibri" w:cs="Calibri" w:eastAsiaTheme="majorEastAsia"/>
            <w:bCs/>
            <w:kern w:val="28"/>
            <w:sz w:val="20"/>
            <w:szCs w:val="20"/>
            <w:lang w:val="en-US"/>
            <w14:ligatures w14:val="none"/>
          </w:rPr>
          <w:t>impact statement</w:t>
        </w:r>
      </w:hyperlink>
      <w:r w:rsidR="00757B6C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and </w:t>
      </w:r>
      <w:r w:rsidR="00DA5630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plan </w:t>
      </w:r>
      <w:r w:rsidR="00757B6C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knowledge translation within their clinical service area (may include updating to clinical standards as appropriate)</w:t>
      </w:r>
    </w:p>
    <w:p w14:paraId="60431ACA" w14:textId="271EB800" w:rsidR="00757B6C" w:rsidRDefault="00757B6C" w:rsidP="00757B6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Staff will utilize their normal SHA reimbursement process with receipts and other supporting documents upon completion of the 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professional development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opportunity; to ensure appropriate and timely tracking of </w:t>
      </w:r>
      <w:r w:rsidR="00BB2E12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the JPCHF</w:t>
      </w: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PD Fund, all receipts must also be forwarded to </w:t>
      </w:r>
      <w:hyperlink r:id="rId13" w:history="1">
        <w:r w:rsidR="00CF7289" w:rsidRPr="00DC5A97">
          <w:rPr>
            <w:rStyle w:val="Hyperlink"/>
            <w:rFonts w:ascii="Calibri" w:hAnsi="Calibri" w:cs="Calibri" w:eastAsiaTheme="majorEastAsia"/>
            <w:bCs/>
            <w:kern w:val="28"/>
            <w:sz w:val="20"/>
            <w:szCs w:val="20"/>
            <w:lang w:val="en-US"/>
            <w14:ligatures w14:val="none"/>
          </w:rPr>
          <w:t>kimberly.woycik@saskhealthauthority.ca</w:t>
        </w:r>
      </w:hyperlink>
    </w:p>
    <w:p w14:paraId="36B74E65" w14:textId="77777777" w:rsidR="00A25B81" w:rsidRPr="00757B6C" w:rsidRDefault="00A25B81" w:rsidP="00FC141A">
      <w:pPr>
        <w:spacing w:after="0" w:line="240" w:lineRule="auto"/>
        <w:rPr>
          <w:rFonts w:ascii="Calibri" w:eastAsiaTheme="majorEastAsia" w:hAnsi="Calibri" w:cs="Calibri"/>
          <w:bCs/>
          <w:kern w:val="28"/>
          <w:sz w:val="12"/>
          <w:szCs w:val="12"/>
          <w:lang w:val="en-US"/>
          <w14:ligatures w14:val="none"/>
        </w:rPr>
      </w:pPr>
    </w:p>
    <w:p w14:paraId="67F0CD26" w14:textId="6BD3C847" w:rsidR="00A25B81" w:rsidRPr="00757B6C" w:rsidRDefault="00A25B81" w:rsidP="00FC141A">
      <w:pPr>
        <w:spacing w:after="0" w:line="240" w:lineRule="auto"/>
        <w:contextualSpacing/>
        <w:rPr>
          <w:rFonts w:eastAsiaTheme="majorEastAsia" w:cstheme="minorHAnsi"/>
          <w:b/>
          <w:color w:val="96368C"/>
          <w:kern w:val="20"/>
          <w:sz w:val="24"/>
          <w:szCs w:val="32"/>
          <w:u w:val="single"/>
          <w:lang w:val="en-US"/>
          <w14:ligatures w14:val="none"/>
        </w:rPr>
      </w:pPr>
      <w:r w:rsidRPr="00757B6C">
        <w:rPr>
          <w:rFonts w:eastAsiaTheme="majorEastAsia" w:cstheme="minorHAnsi"/>
          <w:b/>
          <w:color w:val="96368C"/>
          <w:kern w:val="20"/>
          <w:szCs w:val="28"/>
          <w:u w:val="single"/>
          <w:lang w:val="en-US"/>
          <w14:ligatures w14:val="none"/>
        </w:rPr>
        <w:t>Approval Guidelines</w:t>
      </w:r>
      <w:r w:rsidRPr="00757B6C">
        <w:rPr>
          <w:rFonts w:eastAsiaTheme="majorEastAsia" w:cstheme="minorHAnsi"/>
          <w:b/>
          <w:color w:val="96368C"/>
          <w:kern w:val="20"/>
          <w:szCs w:val="28"/>
          <w:lang w:val="en-US"/>
          <w14:ligatures w14:val="none"/>
        </w:rPr>
        <w:t>:</w:t>
      </w:r>
    </w:p>
    <w:p w14:paraId="631C0295" w14:textId="771D21FE" w:rsidR="00A25B81" w:rsidRPr="00A25B81" w:rsidRDefault="00A25B81" w:rsidP="00757B6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Funds will be dispersed based on, but not limited to:</w:t>
      </w:r>
    </w:p>
    <w:p w14:paraId="33ADFFD7" w14:textId="7D5BAEBC" w:rsidR="00A25B81" w:rsidRPr="00A25B81" w:rsidRDefault="00A25B81" w:rsidP="00757B6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alignment with the SHA MatChild operational plan and strategic plan</w:t>
      </w:r>
    </w:p>
    <w:p w14:paraId="729B2F92" w14:textId="414B6CC4" w:rsidR="00A25B81" w:rsidRPr="00A25B81" w:rsidRDefault="00A25B81" w:rsidP="00757B6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clinical care growth and expansion</w:t>
      </w:r>
    </w:p>
    <w:p w14:paraId="05986875" w14:textId="2BA279DC" w:rsidR="00A25B81" w:rsidRPr="00A25B81" w:rsidRDefault="00A25B81" w:rsidP="00757B6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opportunities for expansion of new positions, programs, or skills here in Saskatchewan</w:t>
      </w:r>
    </w:p>
    <w:p w14:paraId="1329AA24" w14:textId="601F3D6F" w:rsidR="00A25B81" w:rsidRPr="00A25B81" w:rsidRDefault="00DA5630" w:rsidP="00757B6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education addressing </w:t>
      </w:r>
      <w:r w:rsidR="00A25B81"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safety event trends</w:t>
      </w:r>
    </w:p>
    <w:p w14:paraId="744E3136" w14:textId="698E92F4" w:rsidR="00A25B81" w:rsidRPr="00A25B81" w:rsidRDefault="00A25B81" w:rsidP="00757B6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applicant’s previous access to professional development</w:t>
      </w:r>
    </w:p>
    <w:p w14:paraId="1DA87741" w14:textId="771C2274" w:rsidR="00A25B81" w:rsidRPr="00A25B81" w:rsidRDefault="00A25B81" w:rsidP="00757B6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applicant’s access to other funding options</w:t>
      </w:r>
    </w:p>
    <w:p w14:paraId="3D191C4E" w14:textId="77777777" w:rsidR="00A25B81" w:rsidRPr="00A25B81" w:rsidRDefault="00A25B81" w:rsidP="00757B6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20"/>
          <w:szCs w:val="20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As a new process, funds will be dispersed on a first-come, first-served basis; please apply early</w:t>
      </w:r>
    </w:p>
    <w:p w14:paraId="68003501" w14:textId="77777777" w:rsidR="00A25B81" w:rsidRPr="00757B6C" w:rsidRDefault="00A25B81" w:rsidP="00A25B81">
      <w:pPr>
        <w:spacing w:after="0" w:line="240" w:lineRule="auto"/>
        <w:ind w:left="360"/>
        <w:rPr>
          <w:rFonts w:ascii="Calibri" w:eastAsiaTheme="majorEastAsia" w:hAnsi="Calibri" w:cs="Calibri"/>
          <w:bCs/>
          <w:kern w:val="28"/>
          <w:sz w:val="12"/>
          <w:szCs w:val="12"/>
          <w:lang w:val="en-US"/>
          <w14:ligatures w14:val="none"/>
        </w:rPr>
      </w:pPr>
    </w:p>
    <w:p w14:paraId="5160F5BF" w14:textId="69253E73" w:rsidR="00215F68" w:rsidRPr="00A25B81" w:rsidRDefault="00A25B81" w:rsidP="00A25B81">
      <w:pPr>
        <w:spacing w:after="0" w:line="240" w:lineRule="auto"/>
        <w:rPr>
          <w:rFonts w:ascii="Calibri" w:eastAsiaTheme="majorEastAsia" w:hAnsi="Calibri" w:cs="Calibri"/>
          <w:bCs/>
          <w:kern w:val="28"/>
          <w:lang w:val="en-US"/>
          <w14:ligatures w14:val="none"/>
        </w:rPr>
      </w:pP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Please speak with your unit Manager for support in completing the P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rofessional 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D</w:t>
      </w:r>
      <w:r w:rsidR="005C77C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>evelopment</w:t>
      </w:r>
      <w:r w:rsidRPr="00A25B81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Opportunity section of the application form.</w:t>
      </w:r>
      <w:r w:rsidR="000D22AE">
        <w:rPr>
          <w:rFonts w:ascii="Calibri" w:hAnsi="Calibri" w:cs="Calibri" w:eastAsiaTheme="majorEastAsia"/>
          <w:bCs/>
          <w:kern w:val="28"/>
          <w:sz w:val="20"/>
          <w:szCs w:val="20"/>
          <w:lang w:val="en-US"/>
          <w14:ligatures w14:val="none"/>
        </w:rPr>
        <w:t xml:space="preserve">  Entry level education includes knowledge and skills covered in basic training and the established onboarding education for your unit.</w:t>
      </w:r>
      <w:r w:rsidR="00215F68" w:rsidRPr="00A25B81">
        <w:rPr>
          <w:rFonts w:ascii="Calibri" w:hAnsi="Calibri" w:cs="Calibri" w:eastAsiaTheme="majorEastAsia"/>
          <w:bCs/>
          <w:kern w:val="28"/>
          <w:lang w:val="en-US"/>
          <w14:ligatures w14:val="none"/>
        </w:rPr>
        <w:br w:type="page"/>
      </w:r>
    </w:p>
    <w:p w14:paraId="0EA2D05E" w14:textId="6A4E1AA4" w:rsidR="005D57DD" w:rsidRPr="00BB2E12" w:rsidRDefault="005D57DD" w:rsidP="00BB2E12">
      <w:pPr>
        <w:spacing w:after="0" w:line="240" w:lineRule="auto"/>
        <w:contextualSpacing/>
        <w:jc w:val="center"/>
        <w:rPr>
          <w:sz w:val="34"/>
          <w:szCs w:val="34"/>
        </w:rPr>
      </w:pPr>
      <w:r w:rsidRPr="00BB2E12">
        <w:rPr>
          <w:rFonts w:ascii="Calibri" w:hAnsi="Calibri" w:cs="Calibri" w:eastAsiaTheme="majorEastAsia"/>
          <w:b/>
          <w:color w:val="8BC53F"/>
          <w:kern w:val="28"/>
          <w:sz w:val="34"/>
          <w:szCs w:val="34"/>
          <w:lang w:val="en-US"/>
          <w14:ligatures w14:val="none"/>
        </w:rPr>
        <w:lastRenderedPageBreak/>
        <w:t>Application Form</w:t>
      </w:r>
    </w:p>
    <w:p w14:paraId="01565F87" w14:textId="77777777" w:rsidR="005D57DD" w:rsidRPr="005D57DD" w:rsidRDefault="005D57DD" w:rsidP="005D57DD">
      <w:pPr>
        <w:spacing w:after="0" w:line="240" w:lineRule="auto"/>
        <w:contextualSpacing/>
        <w:jc w:val="center"/>
        <w:rPr>
          <w:sz w:val="8"/>
          <w:szCs w:val="8"/>
        </w:rPr>
      </w:pPr>
    </w:p>
    <w:p w14:paraId="708D5F09" w14:textId="699B5BDD" w:rsidR="00023E69" w:rsidRDefault="00E40729" w:rsidP="005D57DD">
      <w:pPr>
        <w:spacing w:after="0" w:line="240" w:lineRule="auto"/>
        <w:contextualSpacing/>
        <w:rPr>
          <w:sz w:val="18"/>
          <w:szCs w:val="18"/>
        </w:rPr>
      </w:pPr>
      <w:sdt>
        <w:sdtPr>
          <w:rPr>
            <w:sz w:val="18"/>
            <w:szCs w:val="18"/>
          </w:rPr>
          <w:id w:val="-170709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DD" w:rsidRPr="005D57DD">
            <w:rPr>
              <w:rFonts w:hint="eastAsia" w:ascii="MS Gothic" w:hAnsi="MS Gothic" w:eastAsia="MS Gothic"/>
              <w:sz w:val="18"/>
              <w:szCs w:val="18"/>
            </w:rPr>
            <w:t>☐</w:t>
          </w:r>
        </w:sdtContent>
      </w:sdt>
      <w:r w:rsidR="005D57DD" w:rsidRPr="005D57DD">
        <w:rPr>
          <w:sz w:val="18"/>
          <w:szCs w:val="18"/>
        </w:rPr>
        <w:t xml:space="preserve"> A signed Request To Attend (RTA) form has been submitted with this</w:t>
      </w:r>
      <w:r w:rsidR="005D57DD">
        <w:rPr>
          <w:sz w:val="18"/>
          <w:szCs w:val="18"/>
        </w:rPr>
        <w:t xml:space="preserve"> application form</w:t>
      </w:r>
    </w:p>
    <w:p w14:paraId="0820125E" w14:textId="77777777" w:rsidR="005D57DD" w:rsidRPr="005D57DD" w:rsidRDefault="005D57DD" w:rsidP="005D57DD">
      <w:pPr>
        <w:spacing w:after="0" w:line="240" w:lineRule="auto"/>
        <w:contextualSpacing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692F" w14:paraId="2723DE0B" w14:textId="77777777" w:rsidTr="0076692F">
        <w:tc>
          <w:tcPr>
            <w:tcW w:w="10790" w:type="dxa"/>
          </w:tcPr>
          <w:p w14:paraId="1870D9F9" w14:textId="77777777" w:rsidR="0076692F" w:rsidRPr="0076692F" w:rsidRDefault="0076692F" w:rsidP="0076692F">
            <w:pPr>
              <w:tabs>
                <w:tab w:val="left" w:pos="3600"/>
                <w:tab w:val="left" w:pos="7380"/>
              </w:tabs>
              <w:contextualSpacing/>
            </w:pP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  <w:t>Applicant Information</w:t>
            </w: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lang w:val="en-US"/>
                <w14:ligatures w14:val="none"/>
              </w:rPr>
              <w:t>:</w:t>
            </w:r>
          </w:p>
          <w:p w14:paraId="3C66E645" w14:textId="17DCE8B7" w:rsidR="0076692F" w:rsidRDefault="0076692F" w:rsidP="0076692F">
            <w:pPr>
              <w:tabs>
                <w:tab w:val="left" w:pos="3600"/>
                <w:tab w:val="left" w:pos="7380"/>
              </w:tabs>
              <w:contextualSpacing/>
            </w:pPr>
            <w:r>
              <w:t xml:space="preserve">Name:  </w:t>
            </w:r>
            <w:r w:rsidR="00215F68">
              <w:t>__________________________</w:t>
            </w:r>
            <w:r>
              <w:tab/>
            </w:r>
            <w:r>
              <w:t xml:space="preserve">Position:  </w:t>
            </w:r>
            <w:r w:rsidR="00215F68">
              <w:t>_________________________</w:t>
            </w:r>
            <w:r>
              <w:tab/>
            </w:r>
            <w:r>
              <w:t xml:space="preserve">Date: </w:t>
            </w:r>
            <w:r w:rsidR="00215F68">
              <w:t>________________________</w:t>
            </w:r>
          </w:p>
          <w:p w14:paraId="529CC37A" w14:textId="55327387" w:rsidR="0076692F" w:rsidRDefault="0076692F" w:rsidP="0076692F">
            <w:pPr>
              <w:tabs>
                <w:tab w:val="left" w:pos="3600"/>
                <w:tab w:val="left" w:pos="7380"/>
              </w:tabs>
              <w:contextualSpacing/>
            </w:pPr>
            <w:r>
              <w:t>If not MatChild, Portfolio:</w:t>
            </w:r>
            <w:r w:rsidR="00215F68">
              <w:t xml:space="preserve">  _________________________</w:t>
            </w:r>
          </w:p>
          <w:p w14:paraId="6303F410" w14:textId="77777777" w:rsidR="0076692F" w:rsidRPr="00BB2E12" w:rsidRDefault="0076692F" w:rsidP="0076692F">
            <w:pPr>
              <w:tabs>
                <w:tab w:val="left" w:pos="3600"/>
                <w:tab w:val="left" w:pos="7380"/>
              </w:tabs>
              <w:contextualSpacing/>
              <w:rPr>
                <w:sz w:val="12"/>
                <w:szCs w:val="12"/>
              </w:rPr>
            </w:pPr>
          </w:p>
          <w:p w14:paraId="29B6F45D" w14:textId="0D26E93A" w:rsidR="0076692F" w:rsidRDefault="0076692F" w:rsidP="0076692F">
            <w:pPr>
              <w:tabs>
                <w:tab w:val="left" w:pos="3600"/>
                <w:tab w:val="left" w:pos="7380"/>
              </w:tabs>
              <w:contextualSpacing/>
            </w:pP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  <w:t>P</w:t>
            </w:r>
            <w:r w:rsidR="005C77C1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  <w:t xml:space="preserve">rofessional </w:t>
            </w: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  <w:t>D</w:t>
            </w:r>
            <w:r w:rsidR="005C77C1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  <w:t>evelopment</w:t>
            </w: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  <w:t xml:space="preserve"> Opportunity</w:t>
            </w: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lang w:val="en-US"/>
                <w14:ligatures w14:val="none"/>
              </w:rPr>
              <w:t>:</w:t>
            </w:r>
          </w:p>
          <w:p w14:paraId="6AC9527F" w14:textId="054BCB35" w:rsidR="0076692F" w:rsidRDefault="0076692F" w:rsidP="0076692F">
            <w:pPr>
              <w:tabs>
                <w:tab w:val="left" w:pos="3600"/>
                <w:tab w:val="left" w:pos="7380"/>
              </w:tabs>
              <w:contextualSpacing/>
            </w:pPr>
            <w:r>
              <w:t xml:space="preserve">Please describe the </w:t>
            </w:r>
            <w:r w:rsidR="005C77C1">
              <w:t>professional development</w:t>
            </w:r>
            <w:r>
              <w:t xml:space="preserve"> opportunity in a short paragraph, including details on the following:</w:t>
            </w:r>
          </w:p>
          <w:p w14:paraId="399261DD" w14:textId="47BF5857" w:rsidR="00DA5630" w:rsidRDefault="00DA5630" w:rsidP="0076692F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7380"/>
              </w:tabs>
            </w:pPr>
            <w:r>
              <w:t xml:space="preserve">How the </w:t>
            </w:r>
            <w:r w:rsidR="005C77C1">
              <w:t>p</w:t>
            </w:r>
            <w:r>
              <w:t xml:space="preserve">rofessional </w:t>
            </w:r>
            <w:r w:rsidR="005C77C1">
              <w:t>d</w:t>
            </w:r>
            <w:r>
              <w:t>evelopment opportunity impacts patient outcomes, experience</w:t>
            </w:r>
            <w:r w:rsidR="005C77C1">
              <w:t>,</w:t>
            </w:r>
            <w:r>
              <w:t xml:space="preserve"> or safety</w:t>
            </w:r>
          </w:p>
          <w:p w14:paraId="5EB90314" w14:textId="0D710A52" w:rsidR="0076692F" w:rsidRDefault="00DA5630" w:rsidP="0076692F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7380"/>
              </w:tabs>
            </w:pPr>
            <w:r>
              <w:t>The s</w:t>
            </w:r>
            <w:r w:rsidR="0076692F">
              <w:t>kill</w:t>
            </w:r>
            <w:r>
              <w:t xml:space="preserve">/knowledge are you hoping to </w:t>
            </w:r>
            <w:r w:rsidR="0076692F">
              <w:t>obtain or develop</w:t>
            </w:r>
          </w:p>
          <w:p w14:paraId="7AB7F652" w14:textId="22151748" w:rsidR="0076692F" w:rsidRDefault="0076692F" w:rsidP="0076692F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7380"/>
              </w:tabs>
            </w:pPr>
            <w:r>
              <w:t>How this opportunity align</w:t>
            </w:r>
            <w:r w:rsidR="005C77C1">
              <w:t>s</w:t>
            </w:r>
            <w:r>
              <w:t xml:space="preserve"> to the SHA/MatChild strategy</w:t>
            </w:r>
          </w:p>
          <w:p w14:paraId="7E71A2BE" w14:textId="52C72627" w:rsidR="0076692F" w:rsidRDefault="005C77C1" w:rsidP="0076692F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7380"/>
              </w:tabs>
            </w:pPr>
            <w:r>
              <w:t>If</w:t>
            </w:r>
            <w:r w:rsidR="0076692F">
              <w:t xml:space="preserve"> this opportunity </w:t>
            </w:r>
            <w:r>
              <w:t xml:space="preserve">is </w:t>
            </w:r>
            <w:r w:rsidR="0076692F">
              <w:t>related to care or service that will be new to the province</w:t>
            </w:r>
          </w:p>
          <w:p w14:paraId="687D5612" w14:textId="18694002" w:rsidR="0076692F" w:rsidRDefault="0076692F" w:rsidP="0076692F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7380"/>
              </w:tabs>
            </w:pPr>
            <w:r>
              <w:t xml:space="preserve">What your plan </w:t>
            </w:r>
            <w:r w:rsidR="005C77C1">
              <w:t xml:space="preserve">is </w:t>
            </w:r>
            <w:r>
              <w:t>for knowledge transfer following completion of the opportunity</w:t>
            </w:r>
          </w:p>
          <w:p w14:paraId="0B0FB19D" w14:textId="77777777" w:rsidR="0076692F" w:rsidRPr="0076692F" w:rsidRDefault="0076692F" w:rsidP="0076692F">
            <w:pPr>
              <w:tabs>
                <w:tab w:val="left" w:pos="3600"/>
                <w:tab w:val="left" w:pos="7380"/>
              </w:tabs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64"/>
            </w:tblGrid>
            <w:tr w:rsidR="0076692F" w14:paraId="7F694F20" w14:textId="77777777" w:rsidTr="00BB2E12">
              <w:trPr>
                <w:trHeight w:val="3365"/>
              </w:trPr>
              <w:tc>
                <w:tcPr>
                  <w:tcW w:w="10790" w:type="dxa"/>
                </w:tcPr>
                <w:p w14:paraId="2B5BE4E7" w14:textId="52885F41" w:rsidR="0076692F" w:rsidRDefault="0076692F" w:rsidP="0076692F">
                  <w:pPr>
                    <w:tabs>
                      <w:tab w:val="left" w:pos="3600"/>
                      <w:tab w:val="left" w:pos="7380"/>
                    </w:tabs>
                  </w:pPr>
                  <w:r>
                    <w:t xml:space="preserve"> </w:t>
                  </w:r>
                </w:p>
              </w:tc>
            </w:tr>
          </w:tbl>
          <w:p w14:paraId="10D6B881" w14:textId="77777777" w:rsidR="0076692F" w:rsidRPr="00BB2E12" w:rsidRDefault="0076692F" w:rsidP="0076692F">
            <w:pPr>
              <w:tabs>
                <w:tab w:val="left" w:pos="3600"/>
                <w:tab w:val="left" w:pos="7380"/>
              </w:tabs>
              <w:rPr>
                <w:rFonts w:eastAsiaTheme="majorEastAsia" w:cstheme="minorHAnsi"/>
                <w:b/>
                <w:color w:val="96368C"/>
                <w:kern w:val="20"/>
                <w:sz w:val="12"/>
                <w:szCs w:val="12"/>
                <w:u w:val="single"/>
                <w:lang w:val="en-US"/>
                <w14:ligatures w14:val="none"/>
              </w:rPr>
            </w:pPr>
          </w:p>
          <w:p w14:paraId="693A65EA" w14:textId="48E19324" w:rsidR="0076692F" w:rsidRPr="0076692F" w:rsidRDefault="0076692F" w:rsidP="0076692F">
            <w:pPr>
              <w:tabs>
                <w:tab w:val="left" w:pos="3600"/>
                <w:tab w:val="left" w:pos="7380"/>
              </w:tabs>
              <w:rPr>
                <w:rFonts w:eastAsiaTheme="majorEastAsia" w:cstheme="minorHAnsi"/>
                <w:b/>
                <w:caps/>
                <w:color w:val="96368C"/>
                <w:kern w:val="20"/>
                <w:sz w:val="20"/>
                <w:szCs w:val="26"/>
                <w:lang w:val="en-US"/>
                <w14:ligatures w14:val="none"/>
              </w:rPr>
            </w:pP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  <w:t>Funding</w:t>
            </w:r>
            <w:r w:rsidRPr="00215F68">
              <w:rPr>
                <w:rFonts w:eastAsiaTheme="majorEastAsia" w:cstheme="minorHAnsi"/>
                <w:b/>
                <w:caps/>
                <w:color w:val="96368C"/>
                <w:kern w:val="20"/>
                <w:sz w:val="24"/>
                <w:szCs w:val="32"/>
                <w:lang w:val="en-US"/>
                <w14:ligatures w14:val="none"/>
              </w:rPr>
              <w:t>:</w:t>
            </w:r>
          </w:p>
          <w:p w14:paraId="0064C224" w14:textId="77777777" w:rsidR="0076692F" w:rsidRDefault="00E40729" w:rsidP="0076692F">
            <w:pPr>
              <w:tabs>
                <w:tab w:val="left" w:pos="3600"/>
                <w:tab w:val="left" w:pos="7380"/>
              </w:tabs>
            </w:pPr>
            <w:sdt>
              <w:sdtPr>
                <w:id w:val="-18141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6692F">
              <w:t xml:space="preserve">  Unit or Program funding application complete</w:t>
            </w:r>
          </w:p>
          <w:p w14:paraId="3478836B" w14:textId="083142B1" w:rsidR="0076692F" w:rsidRDefault="0076692F" w:rsidP="0076692F">
            <w:r>
              <w:tab/>
            </w:r>
            <w:r>
              <w:t xml:space="preserve">List the amount approved:  </w:t>
            </w:r>
            <w:r w:rsidR="00215F68">
              <w:t>____________________</w:t>
            </w:r>
          </w:p>
          <w:p w14:paraId="0E567D63" w14:textId="77777777" w:rsidR="0076692F" w:rsidRDefault="00E40729" w:rsidP="0076692F">
            <w:sdt>
              <w:sdtPr>
                <w:id w:val="-194521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6692F">
              <w:t xml:space="preserve">  Other funding sources applied to (please list):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25"/>
              <w:gridCol w:w="239"/>
              <w:gridCol w:w="1988"/>
              <w:gridCol w:w="1085"/>
              <w:gridCol w:w="937"/>
            </w:tblGrid>
            <w:tr w:rsidR="00215F68" w14:paraId="68B49FC2" w14:textId="77777777" w:rsidTr="00215F68">
              <w:tc>
                <w:tcPr>
                  <w:tcW w:w="6325" w:type="dxa"/>
                </w:tcPr>
                <w:p w14:paraId="2714F4D7" w14:textId="77777777" w:rsidR="00215F68" w:rsidRPr="006130DD" w:rsidRDefault="00215F68" w:rsidP="0076692F">
                  <w:pPr>
                    <w:jc w:val="center"/>
                    <w:rPr>
                      <w:u w:val="single"/>
                    </w:rPr>
                  </w:pPr>
                  <w:r>
                    <w:tab/>
                  </w:r>
                  <w:r w:rsidRPr="006130DD">
                    <w:rPr>
                      <w:u w:val="single"/>
                    </w:rPr>
                    <w:t>Source</w:t>
                  </w:r>
                </w:p>
              </w:tc>
              <w:tc>
                <w:tcPr>
                  <w:tcW w:w="239" w:type="dxa"/>
                </w:tcPr>
                <w:p w14:paraId="12C7251A" w14:textId="77777777" w:rsidR="00215F68" w:rsidRPr="006130DD" w:rsidRDefault="00215F68" w:rsidP="0076692F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1988" w:type="dxa"/>
                </w:tcPr>
                <w:p w14:paraId="6A01A695" w14:textId="7CA9A260" w:rsidR="00215F68" w:rsidRPr="006130DD" w:rsidRDefault="00215F68" w:rsidP="0076692F">
                  <w:pPr>
                    <w:jc w:val="center"/>
                    <w:rPr>
                      <w:u w:val="single"/>
                    </w:rPr>
                  </w:pPr>
                  <w:r w:rsidRPr="006130DD">
                    <w:rPr>
                      <w:u w:val="single"/>
                    </w:rPr>
                    <w:t>Amount</w:t>
                  </w:r>
                </w:p>
              </w:tc>
              <w:tc>
                <w:tcPr>
                  <w:tcW w:w="1085" w:type="dxa"/>
                </w:tcPr>
                <w:p w14:paraId="5C609119" w14:textId="77777777" w:rsidR="00215F68" w:rsidRPr="006130DD" w:rsidRDefault="00215F68" w:rsidP="0076692F">
                  <w:pPr>
                    <w:jc w:val="center"/>
                    <w:rPr>
                      <w:u w:val="single"/>
                    </w:rPr>
                  </w:pPr>
                  <w:r w:rsidRPr="006130DD">
                    <w:rPr>
                      <w:u w:val="single"/>
                    </w:rPr>
                    <w:t>Approved</w:t>
                  </w:r>
                </w:p>
              </w:tc>
              <w:tc>
                <w:tcPr>
                  <w:tcW w:w="937" w:type="dxa"/>
                </w:tcPr>
                <w:p w14:paraId="7FAB464B" w14:textId="77777777" w:rsidR="00215F68" w:rsidRPr="006130DD" w:rsidRDefault="00215F68" w:rsidP="0076692F">
                  <w:pPr>
                    <w:jc w:val="center"/>
                    <w:rPr>
                      <w:u w:val="single"/>
                    </w:rPr>
                  </w:pPr>
                  <w:r w:rsidRPr="006130DD">
                    <w:rPr>
                      <w:u w:val="single"/>
                    </w:rPr>
                    <w:t>Pending</w:t>
                  </w:r>
                </w:p>
              </w:tc>
            </w:tr>
            <w:tr w:rsidR="00215F68" w14:paraId="7A8E0836" w14:textId="77777777" w:rsidTr="00215F68">
              <w:tc>
                <w:tcPr>
                  <w:tcW w:w="6325" w:type="dxa"/>
                  <w:tcBorders>
                    <w:bottom w:val="single" w:sz="4" w:space="0" w:color="auto"/>
                  </w:tcBorders>
                  <w:vAlign w:val="center"/>
                </w:tcPr>
                <w:p w14:paraId="7461C0B2" w14:textId="54BB1C40" w:rsidR="00215F68" w:rsidRDefault="00215F68" w:rsidP="0076692F"/>
              </w:tc>
              <w:tc>
                <w:tcPr>
                  <w:tcW w:w="239" w:type="dxa"/>
                </w:tcPr>
                <w:p w14:paraId="5B2FE693" w14:textId="77777777" w:rsidR="00215F68" w:rsidRPr="006612CC" w:rsidRDefault="00215F68" w:rsidP="0076692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88" w:type="dxa"/>
                  <w:tcBorders>
                    <w:bottom w:val="single" w:sz="4" w:space="0" w:color="auto"/>
                  </w:tcBorders>
                  <w:vAlign w:val="center"/>
                </w:tcPr>
                <w:p w14:paraId="652A6A18" w14:textId="01FCD2CE" w:rsidR="00215F68" w:rsidRPr="006612CC" w:rsidRDefault="00215F68" w:rsidP="0076692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c>
              <w:sdt>
                <w:sdtPr>
                  <w:id w:val="-344947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5" w:type="dxa"/>
                      <w:vAlign w:val="center"/>
                    </w:tcPr>
                    <w:p w14:paraId="2734F742" w14:textId="77777777" w:rsidR="00215F68" w:rsidRDefault="00215F68" w:rsidP="0076692F">
                      <w:pPr>
                        <w:jc w:val="center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7186756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37" w:type="dxa"/>
                      <w:vAlign w:val="center"/>
                    </w:tcPr>
                    <w:p w14:paraId="35FE5EF7" w14:textId="77777777" w:rsidR="00215F68" w:rsidRDefault="00215F68" w:rsidP="0076692F">
                      <w:pPr>
                        <w:jc w:val="center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</w:tr>
            <w:tr w:rsidR="00215F68" w14:paraId="2574AF5F" w14:textId="77777777" w:rsidTr="00215F68">
              <w:tc>
                <w:tcPr>
                  <w:tcW w:w="63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DE01B2" w14:textId="2937A2B6" w:rsidR="00215F68" w:rsidRDefault="00215F68" w:rsidP="0076692F"/>
              </w:tc>
              <w:tc>
                <w:tcPr>
                  <w:tcW w:w="239" w:type="dxa"/>
                </w:tcPr>
                <w:p w14:paraId="508F99FF" w14:textId="77777777" w:rsidR="00215F68" w:rsidRPr="006612CC" w:rsidRDefault="00215F68" w:rsidP="0076692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F3C9BB" w14:textId="1F746D3E" w:rsidR="00215F68" w:rsidRPr="006612CC" w:rsidRDefault="00215F68" w:rsidP="0076692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c>
              <w:sdt>
                <w:sdtPr>
                  <w:id w:val="-920020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5" w:type="dxa"/>
                      <w:vAlign w:val="center"/>
                    </w:tcPr>
                    <w:p w14:paraId="438ECA06" w14:textId="77777777" w:rsidR="00215F68" w:rsidRDefault="00215F68" w:rsidP="0076692F">
                      <w:pPr>
                        <w:jc w:val="center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51625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37" w:type="dxa"/>
                      <w:vAlign w:val="center"/>
                    </w:tcPr>
                    <w:p w14:paraId="57E91FC5" w14:textId="77777777" w:rsidR="00215F68" w:rsidRDefault="00215F68" w:rsidP="0076692F">
                      <w:pPr>
                        <w:jc w:val="center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</w:tr>
            <w:tr w:rsidR="00215F68" w14:paraId="6965E619" w14:textId="77777777" w:rsidTr="00215F68">
              <w:tc>
                <w:tcPr>
                  <w:tcW w:w="63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788B15" w14:textId="5669E354" w:rsidR="00215F68" w:rsidRDefault="00215F68" w:rsidP="0076692F"/>
              </w:tc>
              <w:tc>
                <w:tcPr>
                  <w:tcW w:w="239" w:type="dxa"/>
                </w:tcPr>
                <w:p w14:paraId="14713C76" w14:textId="77777777" w:rsidR="00215F68" w:rsidRPr="006612CC" w:rsidRDefault="00215F68" w:rsidP="0076692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7C679E" w14:textId="0FDFB6B7" w:rsidR="00215F68" w:rsidRPr="006612CC" w:rsidRDefault="00215F68" w:rsidP="0076692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c>
              <w:sdt>
                <w:sdtPr>
                  <w:id w:val="1013269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5" w:type="dxa"/>
                      <w:vAlign w:val="center"/>
                    </w:tcPr>
                    <w:p w14:paraId="269FDAB6" w14:textId="77777777" w:rsidR="00215F68" w:rsidRDefault="00215F68" w:rsidP="0076692F">
                      <w:pPr>
                        <w:jc w:val="center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2061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37" w:type="dxa"/>
                      <w:vAlign w:val="center"/>
                    </w:tcPr>
                    <w:p w14:paraId="5D964870" w14:textId="77777777" w:rsidR="00215F68" w:rsidRDefault="00215F68" w:rsidP="0076692F">
                      <w:pPr>
                        <w:jc w:val="center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</w:tr>
            <w:tr w:rsidR="00215F68" w14:paraId="3315D3F1" w14:textId="77777777" w:rsidTr="00215F68">
              <w:tc>
                <w:tcPr>
                  <w:tcW w:w="63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393F20" w14:textId="3742E4BC" w:rsidR="00215F68" w:rsidRDefault="00215F68" w:rsidP="0076692F"/>
              </w:tc>
              <w:tc>
                <w:tcPr>
                  <w:tcW w:w="239" w:type="dxa"/>
                </w:tcPr>
                <w:p w14:paraId="0D44A357" w14:textId="77777777" w:rsidR="00215F68" w:rsidRPr="006612CC" w:rsidRDefault="00215F68" w:rsidP="0076692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3773A3" w14:textId="7FC39554" w:rsidR="00215F68" w:rsidRPr="006612CC" w:rsidRDefault="00215F68" w:rsidP="0076692F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</w:tc>
              <w:sdt>
                <w:sdtPr>
                  <w:id w:val="-9513284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5" w:type="dxa"/>
                      <w:vAlign w:val="center"/>
                    </w:tcPr>
                    <w:p w14:paraId="6A5BF2DA" w14:textId="77777777" w:rsidR="00215F68" w:rsidRDefault="00215F68" w:rsidP="0076692F">
                      <w:pPr>
                        <w:jc w:val="center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017459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37" w:type="dxa"/>
                      <w:vAlign w:val="center"/>
                    </w:tcPr>
                    <w:p w14:paraId="64808FB4" w14:textId="77777777" w:rsidR="00215F68" w:rsidRDefault="00215F68" w:rsidP="0076692F">
                      <w:pPr>
                        <w:jc w:val="center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7709F70" w14:textId="77777777" w:rsidR="0076692F" w:rsidRPr="00BB2E12" w:rsidRDefault="0076692F" w:rsidP="0076692F">
            <w:pPr>
              <w:rPr>
                <w:sz w:val="12"/>
                <w:szCs w:val="12"/>
              </w:rPr>
            </w:pPr>
          </w:p>
          <w:p w14:paraId="66A17230" w14:textId="77777777" w:rsidR="0076692F" w:rsidRPr="0076692F" w:rsidRDefault="0076692F" w:rsidP="0076692F">
            <w:pPr>
              <w:rPr>
                <w:rFonts w:cstheme="minorHAnsi"/>
              </w:rPr>
            </w:pP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  <w:t>Commitment</w:t>
            </w:r>
            <w:r w:rsidRPr="00215F68"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lang w:val="en-US"/>
                <w14:ligatures w14:val="none"/>
              </w:rPr>
              <w:t>:</w:t>
            </w:r>
          </w:p>
          <w:p w14:paraId="5AA687DC" w14:textId="77777777" w:rsidR="0076692F" w:rsidRDefault="0076692F" w:rsidP="0076692F">
            <w:r>
              <w:t>In receiving these funds, I agree to:</w:t>
            </w:r>
          </w:p>
          <w:p w14:paraId="30D14EBF" w14:textId="77777777" w:rsidR="00DD3EA0" w:rsidRDefault="00E40729" w:rsidP="00DD3EA0">
            <w:pPr>
              <w:ind w:left="720"/>
            </w:pPr>
            <w:sdt>
              <w:sdtPr>
                <w:id w:val="-107311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6692F">
              <w:t xml:space="preserve">  Deliver an </w:t>
            </w:r>
            <w:hyperlink r:id="rId14" w:history="1">
              <w:r w:rsidR="0076692F" w:rsidRPr="00DD3EA0">
                <w:rPr>
                  <w:rStyle w:val="Hyperlink"/>
                </w:rPr>
                <w:t>Impact Statement</w:t>
              </w:r>
            </w:hyperlink>
            <w:r w:rsidR="0076692F">
              <w:t xml:space="preserve"> within 30 days of completion of the </w:t>
            </w:r>
            <w:r w:rsidR="005C77C1">
              <w:t>professional development</w:t>
            </w:r>
            <w:r w:rsidR="0076692F">
              <w:t xml:space="preserve"> opportunity</w:t>
            </w:r>
            <w:r w:rsidR="005C77C1">
              <w:t xml:space="preserve"> to</w:t>
            </w:r>
          </w:p>
          <w:p w14:paraId="41B6D664" w14:textId="6A042365" w:rsidR="0076692F" w:rsidRDefault="005C77C1" w:rsidP="00DD3EA0">
            <w:pPr>
              <w:ind w:left="1057"/>
            </w:pPr>
            <w:r>
              <w:t xml:space="preserve">JPCHF and to </w:t>
            </w:r>
            <w:hyperlink r:id="rId15" w:history="1">
              <w:r w:rsidR="00CF7289" w:rsidRPr="00DC5A97">
                <w:rPr>
                  <w:rStyle w:val="Hyperlink"/>
                </w:rPr>
                <w:t>kimberly.woycik@saskhealthauthority.ca</w:t>
              </w:r>
            </w:hyperlink>
          </w:p>
          <w:p w14:paraId="1E4BA182" w14:textId="27CC4BC2" w:rsidR="0076692F" w:rsidRDefault="0076692F" w:rsidP="0076692F">
            <w:r>
              <w:tab/>
            </w:r>
            <w:sdt>
              <w:sdtPr>
                <w:id w:val="18581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Provide clinical knowledge translation in my </w:t>
            </w:r>
            <w:r w:rsidR="005C77C1">
              <w:t>program/</w:t>
            </w:r>
            <w:r>
              <w:t>unit arranged with my program Manager</w:t>
            </w:r>
          </w:p>
          <w:p w14:paraId="567FB046" w14:textId="77777777" w:rsidR="0076692F" w:rsidRDefault="0076692F" w:rsidP="0076692F">
            <w:r>
              <w:tab/>
            </w:r>
            <w:sdt>
              <w:sdtPr>
                <w:id w:val="-1370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Apply updated or new clinical skills, including development and/or refresh of SHA Clinical Standards</w:t>
            </w:r>
          </w:p>
          <w:p w14:paraId="7B9A422C" w14:textId="6FB7788D" w:rsidR="0076692F" w:rsidRDefault="0076692F" w:rsidP="0076692F">
            <w:r>
              <w:tab/>
            </w:r>
            <w:sdt>
              <w:sdtPr>
                <w:id w:val="8513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Provide a copy of actual expenses (receipts) to </w:t>
            </w:r>
            <w:hyperlink r:id="rId16" w:history="1">
              <w:r w:rsidR="00CF7289" w:rsidRPr="00DC5A97">
                <w:rPr>
                  <w:rStyle w:val="Hyperlink"/>
                </w:rPr>
                <w:t>kimberly.woycik@saskhealthauthority.ca</w:t>
              </w:r>
            </w:hyperlink>
          </w:p>
          <w:p w14:paraId="2CE9F9E0" w14:textId="67E97C88" w:rsidR="0076692F" w:rsidRDefault="0076692F" w:rsidP="0076692F">
            <w:r>
              <w:tab/>
            </w:r>
            <w:sdt>
              <w:sdtPr>
                <w:id w:val="-10177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Submit approved expenses as per my normal expense claim process</w:t>
            </w:r>
          </w:p>
        </w:tc>
      </w:tr>
      <w:tr w:rsidR="00CF7289" w14:paraId="14BB0375" w14:textId="77777777" w:rsidTr="0076692F">
        <w:tc>
          <w:tcPr>
            <w:tcW w:w="10790" w:type="dxa"/>
          </w:tcPr>
          <w:p w14:paraId="7FA2699F" w14:textId="77777777" w:rsidR="00CF7289" w:rsidRPr="00215F68" w:rsidRDefault="00CF7289" w:rsidP="0076692F">
            <w:pPr>
              <w:tabs>
                <w:tab w:val="left" w:pos="3600"/>
                <w:tab w:val="left" w:pos="7380"/>
              </w:tabs>
              <w:contextualSpacing/>
              <w:rPr>
                <w:rFonts w:eastAsiaTheme="majorEastAsia" w:cstheme="minorHAnsi"/>
                <w:b/>
                <w:color w:val="96368C"/>
                <w:kern w:val="20"/>
                <w:sz w:val="24"/>
                <w:szCs w:val="32"/>
                <w:u w:val="single"/>
                <w:lang w:val="en-US"/>
                <w14:ligatures w14:val="none"/>
              </w:rPr>
            </w:pPr>
          </w:p>
        </w:tc>
      </w:tr>
    </w:tbl>
    <w:p w14:paraId="3AD097CF" w14:textId="1D10D819" w:rsidR="0076692F" w:rsidRPr="0076692F" w:rsidRDefault="0076692F" w:rsidP="005D57DD">
      <w:pPr>
        <w:spacing w:after="0" w:line="240" w:lineRule="auto"/>
        <w:rPr>
          <w:sz w:val="8"/>
          <w:szCs w:val="8"/>
        </w:rPr>
      </w:pPr>
    </w:p>
    <w:p w14:paraId="7C366071" w14:textId="33B6C58A" w:rsidR="0076692F" w:rsidRPr="005D57DD" w:rsidRDefault="0076692F" w:rsidP="0076692F">
      <w:pPr>
        <w:spacing w:after="0" w:line="240" w:lineRule="auto"/>
        <w:jc w:val="center"/>
      </w:pPr>
      <w:r>
        <w:t xml:space="preserve">Please submit this completed application form to </w:t>
      </w:r>
      <w:hyperlink r:id="rId17" w:history="1">
        <w:r w:rsidR="00E40729" w:rsidRPr="00D867F9">
          <w:rPr>
            <w:rStyle w:val="Hyperlink"/>
          </w:rPr>
          <w:t>kimberly.woycik@saskhealthauthority.ca</w:t>
        </w:r>
      </w:hyperlink>
    </w:p>
    <w:sectPr w:rsidR="0076692F" w:rsidRPr="005D57DD" w:rsidSect="005D57DD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62C0" w:rsidP="005D57DD" w:rsidRDefault="00B962C0" w14:paraId="0C3D99B2" w14:textId="77777777">
      <w:pPr>
        <w:spacing w:after="0" w:line="240" w:lineRule="auto"/>
      </w:pPr>
      <w:r>
        <w:separator/>
      </w:r>
    </w:p>
  </w:endnote>
  <w:endnote w:type="continuationSeparator" w:id="0">
    <w:p w:rsidR="00B962C0" w:rsidP="005D57DD" w:rsidRDefault="00B962C0" w14:paraId="0BBED1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0353" w14:textId="3E42461B" w:rsidR="00757B6C" w:rsidRPr="00757B6C" w:rsidRDefault="00FB5B77" w:rsidP="00FB5B7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Catalogue #:  MC-Info-0050 JPCHF PD Fund Application</w:t>
    </w:r>
    <w:r>
      <w:rPr>
        <w:sz w:val="18"/>
        <w:szCs w:val="18"/>
      </w:rPr>
      <w:tab/>
    </w:r>
    <w:r w:rsidR="00757B6C" w:rsidRPr="00757B6C">
      <w:rPr>
        <w:sz w:val="18"/>
        <w:szCs w:val="18"/>
      </w:rPr>
      <w:t xml:space="preserve">Page </w:t>
    </w:r>
    <w:r w:rsidR="00757B6C" w:rsidRPr="00757B6C">
      <w:rPr>
        <w:b/>
        <w:bCs/>
        <w:sz w:val="18"/>
        <w:szCs w:val="18"/>
      </w:rPr>
      <w:fldChar w:fldCharType="begin"/>
    </w:r>
    <w:r w:rsidR="00757B6C" w:rsidRPr="00757B6C">
      <w:rPr>
        <w:b/>
        <w:bCs/>
        <w:sz w:val="18"/>
        <w:szCs w:val="18"/>
      </w:rPr>
      <w:instrText xml:space="preserve"> PAGE  \* Arabic  \* MERGEFORMAT </w:instrText>
    </w:r>
    <w:r w:rsidR="00757B6C" w:rsidRPr="00757B6C">
      <w:rPr>
        <w:b/>
        <w:bCs/>
        <w:sz w:val="18"/>
        <w:szCs w:val="18"/>
      </w:rPr>
      <w:fldChar w:fldCharType="separate"/>
    </w:r>
    <w:r w:rsidR="00757B6C" w:rsidRPr="00757B6C">
      <w:rPr>
        <w:b/>
        <w:bCs/>
        <w:noProof/>
        <w:sz w:val="18"/>
        <w:szCs w:val="18"/>
      </w:rPr>
      <w:t>1</w:t>
    </w:r>
    <w:r w:rsidR="00757B6C" w:rsidRPr="00757B6C">
      <w:rPr>
        <w:b/>
        <w:bCs/>
        <w:sz w:val="18"/>
        <w:szCs w:val="18"/>
      </w:rPr>
      <w:fldChar w:fldCharType="end"/>
    </w:r>
    <w:r w:rsidR="00757B6C" w:rsidRPr="00757B6C">
      <w:rPr>
        <w:sz w:val="18"/>
        <w:szCs w:val="18"/>
      </w:rPr>
      <w:t xml:space="preserve"> of </w:t>
    </w:r>
    <w:r w:rsidR="00757B6C" w:rsidRPr="00757B6C">
      <w:rPr>
        <w:b/>
        <w:bCs/>
        <w:sz w:val="18"/>
        <w:szCs w:val="18"/>
      </w:rPr>
      <w:fldChar w:fldCharType="begin"/>
    </w:r>
    <w:r w:rsidR="00757B6C" w:rsidRPr="00757B6C">
      <w:rPr>
        <w:b/>
        <w:bCs/>
        <w:sz w:val="18"/>
        <w:szCs w:val="18"/>
      </w:rPr>
      <w:instrText xml:space="preserve"> NUMPAGES  \* Arabic  \* MERGEFORMAT </w:instrText>
    </w:r>
    <w:r w:rsidR="00757B6C" w:rsidRPr="00757B6C">
      <w:rPr>
        <w:b/>
        <w:bCs/>
        <w:sz w:val="18"/>
        <w:szCs w:val="18"/>
      </w:rPr>
      <w:fldChar w:fldCharType="separate"/>
    </w:r>
    <w:r w:rsidR="00757B6C" w:rsidRPr="00757B6C">
      <w:rPr>
        <w:b/>
        <w:bCs/>
        <w:noProof/>
        <w:sz w:val="18"/>
        <w:szCs w:val="18"/>
      </w:rPr>
      <w:t>2</w:t>
    </w:r>
    <w:r w:rsidR="00757B6C" w:rsidRPr="00757B6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62C0" w:rsidP="005D57DD" w:rsidRDefault="00B962C0" w14:paraId="3C719598" w14:textId="77777777">
      <w:pPr>
        <w:spacing w:after="0" w:line="240" w:lineRule="auto"/>
      </w:pPr>
      <w:r>
        <w:separator/>
      </w:r>
    </w:p>
  </w:footnote>
  <w:footnote w:type="continuationSeparator" w:id="0">
    <w:p w:rsidR="00B962C0" w:rsidP="005D57DD" w:rsidRDefault="00B962C0" w14:paraId="3AF8F7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C269" w14:textId="36891923" w:rsidR="005D57DD" w:rsidRDefault="005D57DD" w:rsidP="00BB2E12">
    <w:pPr>
      <w:pStyle w:val="Header"/>
      <w:tabs>
        <w:tab w:val="clear" w:pos="4680"/>
        <w:tab w:val="clear" w:pos="9360"/>
        <w:tab w:val="center" w:pos="5400"/>
        <w:tab w:val="right" w:pos="10800"/>
      </w:tabs>
    </w:pPr>
    <w:r>
      <w:rPr>
        <w:rFonts w:ascii="Calibri-Light" w:hAnsi="Calibri-Light" w:cs="Calibri-Light"/>
        <w:noProof/>
        <w:lang w:eastAsia="en-CA"/>
      </w:rPr>
      <w:drawing>
        <wp:inline distT="0" distB="0" distL="0" distR="0" wp14:anchorId="3F059B3F" wp14:editId="5521A783">
          <wp:extent cx="2139950" cy="558800"/>
          <wp:effectExtent l="0" t="0" r="0" b="0"/>
          <wp:docPr id="1" name="Picture 1" descr="H:\Desktop\Brand Team\Logos\BLACK\SKHealth_Logo_1colour black white cross 80 opac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esktop\Brand Team\Logos\BLACK\SKHealth_Logo_1colour black white cross 80 opacit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07242E73" wp14:editId="1216ADCC">
          <wp:extent cx="1435608" cy="6400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HA-MomsAndKids-Logo(Primary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0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E12">
      <w:tab/>
    </w:r>
    <w:r w:rsidR="00BB2E12">
      <w:rPr>
        <w:noProof/>
        <w:lang w:eastAsia="en-CA"/>
      </w:rPr>
      <w:drawing>
        <wp:inline distT="0" distB="0" distL="0" distR="0" wp14:anchorId="72C2A038" wp14:editId="2F8973B0">
          <wp:extent cx="1292573" cy="631080"/>
          <wp:effectExtent l="0" t="0" r="3175" b="0"/>
          <wp:docPr id="3" name="Picture 3" descr="A logo for a children's found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hildren's foundati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573" cy="63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15F68" w:rsidRPr="00BB2E12">
      <w:rPr>
        <w:rFonts w:ascii="Calibri" w:hAnsi="Calibri" w:cs="Calibri" w:eastAsiaTheme="majorEastAsia"/>
        <w:b/>
        <w:color w:val="8BC53F"/>
        <w:kern w:val="28"/>
        <w:sz w:val="34"/>
        <w:szCs w:val="34"/>
        <w:lang w:val="en-US"/>
        <w14:ligatures w14:val="none"/>
      </w:rPr>
      <w:t xml:space="preserve">Jim Pattison Children’s Hospital </w:t>
    </w:r>
    <w:r w:rsidR="00BB2E12" w:rsidRPr="00BB2E12">
      <w:rPr>
        <w:rFonts w:ascii="Calibri" w:hAnsi="Calibri" w:cs="Calibri" w:eastAsiaTheme="majorEastAsia"/>
        <w:b/>
        <w:color w:val="8BC53F"/>
        <w:kern w:val="28"/>
        <w:sz w:val="34"/>
        <w:szCs w:val="34"/>
        <w:lang w:val="en-US"/>
        <w14:ligatures w14:val="none"/>
      </w:rPr>
      <w:t xml:space="preserve">Foundation </w:t>
    </w:r>
    <w:r w:rsidR="00215F68" w:rsidRPr="00BB2E12">
      <w:rPr>
        <w:rFonts w:ascii="Calibri" w:hAnsi="Calibri" w:cs="Calibri" w:eastAsiaTheme="majorEastAsia"/>
        <w:b/>
        <w:color w:val="8BC53F"/>
        <w:kern w:val="28"/>
        <w:sz w:val="34"/>
        <w:szCs w:val="34"/>
        <w:lang w:val="en-US"/>
        <w14:ligatures w14:val="none"/>
      </w:rPr>
      <w:t>Professional Development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010"/>
    <w:multiLevelType w:val="hybridMultilevel"/>
    <w:tmpl w:val="A8B82DC8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0E2D0D"/>
    <w:multiLevelType w:val="hybridMultilevel"/>
    <w:tmpl w:val="22FED8E8"/>
    <w:lvl w:ilvl="0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" w15:restartNumberingAfterBreak="0">
    <w:nsid w:val="158A16F6"/>
    <w:multiLevelType w:val="hybridMultilevel"/>
    <w:tmpl w:val="10BC7CE2"/>
    <w:lvl w:ilvl="0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3" w15:restartNumberingAfterBreak="0">
    <w:nsid w:val="216E3AE1"/>
    <w:multiLevelType w:val="hybridMultilevel"/>
    <w:tmpl w:val="5522789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D32F55"/>
    <w:multiLevelType w:val="hybridMultilevel"/>
    <w:tmpl w:val="3A4E21F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577C06"/>
    <w:multiLevelType w:val="hybridMultilevel"/>
    <w:tmpl w:val="DF7AC6E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71002046">
    <w:abstractNumId w:val="4"/>
  </w:num>
  <w:num w:numId="2" w16cid:durableId="1623613780">
    <w:abstractNumId w:val="2"/>
  </w:num>
  <w:num w:numId="3" w16cid:durableId="101387317">
    <w:abstractNumId w:val="1"/>
  </w:num>
  <w:num w:numId="4" w16cid:durableId="1537818171">
    <w:abstractNumId w:val="3"/>
  </w:num>
  <w:num w:numId="5" w16cid:durableId="1782215777">
    <w:abstractNumId w:val="0"/>
  </w:num>
  <w:num w:numId="6" w16cid:durableId="1716157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DD"/>
    <w:rsid w:val="00023E69"/>
    <w:rsid w:val="000934F1"/>
    <w:rsid w:val="000D22AE"/>
    <w:rsid w:val="00215F68"/>
    <w:rsid w:val="002B5F52"/>
    <w:rsid w:val="00592570"/>
    <w:rsid w:val="005C77C1"/>
    <w:rsid w:val="005D57DD"/>
    <w:rsid w:val="006130DD"/>
    <w:rsid w:val="00626182"/>
    <w:rsid w:val="00650B0E"/>
    <w:rsid w:val="006612CC"/>
    <w:rsid w:val="00747E74"/>
    <w:rsid w:val="00757B6C"/>
    <w:rsid w:val="0076692F"/>
    <w:rsid w:val="007828E9"/>
    <w:rsid w:val="0078799B"/>
    <w:rsid w:val="007D43B8"/>
    <w:rsid w:val="00830CEE"/>
    <w:rsid w:val="00A25B81"/>
    <w:rsid w:val="00A62EF0"/>
    <w:rsid w:val="00B248B3"/>
    <w:rsid w:val="00B962C0"/>
    <w:rsid w:val="00BB2E12"/>
    <w:rsid w:val="00CF7289"/>
    <w:rsid w:val="00DA5630"/>
    <w:rsid w:val="00DD3EA0"/>
    <w:rsid w:val="00E05744"/>
    <w:rsid w:val="00E40729"/>
    <w:rsid w:val="00EF026E"/>
    <w:rsid w:val="00FB5B77"/>
    <w:rsid w:val="00FB6B6A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E410E"/>
  <w15:chartTrackingRefBased/>
  <w15:docId w15:val="{85BA6C83-25BD-4EF2-AA7C-E31675464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7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7DD"/>
  </w:style>
  <w:style w:type="paragraph" w:styleId="Footer">
    <w:name w:val="footer"/>
    <w:basedOn w:val="Normal"/>
    <w:link w:val="FooterChar"/>
    <w:uiPriority w:val="99"/>
    <w:unhideWhenUsed/>
    <w:rsid w:val="005D57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7DD"/>
  </w:style>
  <w:style w:type="character" w:styleId="PlaceholderText">
    <w:name w:val="Placeholder Text"/>
    <w:basedOn w:val="DefaultParagraphFont"/>
    <w:uiPriority w:val="99"/>
    <w:semiHidden/>
    <w:rsid w:val="005D57DD"/>
    <w:rPr>
      <w:color w:val="808080"/>
    </w:rPr>
  </w:style>
  <w:style w:type="paragraph" w:styleId="ListParagraph">
    <w:name w:val="List Paragraph"/>
    <w:basedOn w:val="Normal"/>
    <w:uiPriority w:val="34"/>
    <w:qFormat/>
    <w:rsid w:val="005D57DD"/>
    <w:pPr>
      <w:ind w:left="720"/>
      <w:contextualSpacing/>
    </w:pPr>
  </w:style>
  <w:style w:type="table" w:styleId="TableGrid">
    <w:name w:val="Table Grid"/>
    <w:basedOn w:val="TableNormal"/>
    <w:uiPriority w:val="39"/>
    <w:rsid w:val="005D5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61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imberly.woycik@saskhealthauthority.c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attisonchildrens.ca/how-you-help/breakthroughs-innovation/apply-for-a-grant/" TargetMode="External"/><Relationship Id="rId17" Type="http://schemas.openxmlformats.org/officeDocument/2006/relationships/hyperlink" Target="mailto:kimberly.woycik@saskhealthauthority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imberly.woycik@saskhealthauthority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msandkidssask.saskhealthauthority.ca/about-us/provider-resources/professional-development" TargetMode="External"/><Relationship Id="rId5" Type="http://schemas.openxmlformats.org/officeDocument/2006/relationships/styles" Target="styles.xml"/><Relationship Id="rId15" Type="http://schemas.openxmlformats.org/officeDocument/2006/relationships/hyperlink" Target="mailto:kimberly.woycik@saskhealthauthority.ca" TargetMode="External"/><Relationship Id="rId10" Type="http://schemas.openxmlformats.org/officeDocument/2006/relationships/hyperlink" Target="mailto:kimberly.woycik@saskhealthauthority.ca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ttisonchildrens.ca/how-you-help/breakthroughs-innovation/apply-for-a-gran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CB57279F6A740BFD73D4276F47BA6" ma:contentTypeVersion="8" ma:contentTypeDescription="Create a new document." ma:contentTypeScope="" ma:versionID="fdadc65d11705a4aa7c013a5d0e498ca">
  <xsd:schema xmlns:xsd="http://www.w3.org/2001/XMLSchema" xmlns:xs="http://www.w3.org/2001/XMLSchema" xmlns:p="http://schemas.microsoft.com/office/2006/metadata/properties" xmlns:ns2="c8286469-1a98-434f-b3e1-2359d9aa765c" targetNamespace="http://schemas.microsoft.com/office/2006/metadata/properties" ma:root="true" ma:fieldsID="04cebd2c79b521d6b10d5e7708d16756" ns2:_="">
    <xsd:import namespace="c8286469-1a98-434f-b3e1-2359d9aa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6469-1a98-434f-b3e1-2359d9aa76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95551-EAB4-4E6A-B5FA-F28ED537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1C673-D6B1-4E0A-8EDC-E3791701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86469-1a98-434f-b3e1-2359d9aa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3BC9A-D7FE-49AA-AC1D-4D28512040A4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c8286469-1a98-434f-b3e1-2359d9aa765c"/>
    <ds:schemaRef ds:uri="http://purl.org/dc/dcmitype/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eHealth Saskatchewan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Nolan SHA</dc:creator>
  <cp:keywords/>
  <dc:description/>
  <cp:lastModifiedBy>Ediger, Janelle SHA</cp:lastModifiedBy>
  <cp:revision>8</cp:revision>
  <cp:lastPrinted>2024-09-19T19:28:00Z</cp:lastPrinted>
  <dcterms:created xsi:type="dcterms:W3CDTF">2024-09-19T15:29:00Z</dcterms:created>
  <dcterms:modified xsi:type="dcterms:W3CDTF">2025-07-30T14:20:00Z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0x010100813CB57279F6A740BFD73D4276F47BA6</vt:lpwstr>
  </property>
</Properties>
</file>